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45B37" w14:textId="77777777" w:rsidR="00BC6BFF" w:rsidRPr="00BC6BFF" w:rsidRDefault="00BC6BFF" w:rsidP="00BC6BFF"/>
    <w:p w14:paraId="17275B1F" w14:textId="79045B0D" w:rsidR="00BC6BFF" w:rsidRPr="00BC6BFF" w:rsidRDefault="00BC6BFF" w:rsidP="00BC6BFF">
      <w:pPr>
        <w:pStyle w:val="Default"/>
        <w:jc w:val="both"/>
        <w:rPr>
          <w:rFonts w:ascii="Times New Roman" w:hAnsi="Times New Roman" w:cs="Times New Roman"/>
        </w:rPr>
      </w:pPr>
      <w:r w:rsidRPr="00BC6BFF">
        <w:rPr>
          <w:rFonts w:ascii="Times New Roman" w:hAnsi="Times New Roman" w:cs="Times New Roman"/>
        </w:rPr>
        <w:t>La Universidad Central del Ecuador en el examen de admisión para la Educación Superior aplicará una evaluación psicométrica y un test de tendencia vocacional. La estructura general de la evaluación psicométrica comprende razonamiento verbal, lógico y numérico.</w:t>
      </w:r>
    </w:p>
    <w:p w14:paraId="6D28B250" w14:textId="77777777" w:rsidR="00BC6BFF" w:rsidRPr="00BC6BFF" w:rsidRDefault="00BC6BFF" w:rsidP="00BC6BFF">
      <w:pPr>
        <w:pStyle w:val="Default"/>
        <w:jc w:val="both"/>
        <w:rPr>
          <w:rFonts w:ascii="Times New Roman" w:hAnsi="Times New Roman" w:cs="Times New Roman"/>
        </w:rPr>
      </w:pPr>
    </w:p>
    <w:p w14:paraId="2EDC5CA8" w14:textId="6F8A77A9" w:rsidR="00BC6BFF" w:rsidRPr="00BC6BFF" w:rsidRDefault="00BC6BFF" w:rsidP="00BC6BFF">
      <w:pPr>
        <w:jc w:val="both"/>
        <w:rPr>
          <w:rFonts w:ascii="Times New Roman" w:hAnsi="Times New Roman" w:cs="Times New Roman"/>
          <w:sz w:val="24"/>
          <w:szCs w:val="24"/>
        </w:rPr>
      </w:pPr>
      <w:r w:rsidRPr="00BC6BFF">
        <w:rPr>
          <w:rFonts w:ascii="Times New Roman" w:hAnsi="Times New Roman" w:cs="Times New Roman"/>
          <w:sz w:val="24"/>
          <w:szCs w:val="24"/>
        </w:rPr>
        <w:t xml:space="preserve">En </w:t>
      </w:r>
      <w:r w:rsidRPr="00BC6BFF">
        <w:rPr>
          <w:rFonts w:ascii="Times New Roman" w:hAnsi="Times New Roman" w:cs="Times New Roman"/>
          <w:b/>
          <w:bCs/>
          <w:sz w:val="24"/>
          <w:szCs w:val="24"/>
        </w:rPr>
        <w:t>razonamiento verbal,</w:t>
      </w:r>
      <w:r w:rsidRPr="00BC6BFF">
        <w:rPr>
          <w:rFonts w:ascii="Times New Roman" w:hAnsi="Times New Roman" w:cs="Times New Roman"/>
          <w:sz w:val="24"/>
          <w:szCs w:val="24"/>
        </w:rPr>
        <w:t xml:space="preserve"> se han considerado ámbitos cognitivos que implican la comprensión del material escrito mediante el análisis lógico de la semántica, la sintaxis y las relaciones entre palabras y conceptos. Los temas son:</w:t>
      </w:r>
    </w:p>
    <w:tbl>
      <w:tblPr>
        <w:tblStyle w:val="TableNormal"/>
        <w:tblpPr w:leftFromText="141" w:rightFromText="141" w:vertAnchor="text" w:horzAnchor="margin" w:tblpXSpec="center" w:tblpY="13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5319"/>
      </w:tblGrid>
      <w:tr w:rsidR="00BC6BFF" w:rsidRPr="00BC6BFF" w14:paraId="6C788900" w14:textId="77777777" w:rsidTr="00BC6BFF">
        <w:trPr>
          <w:trHeight w:val="264"/>
        </w:trPr>
        <w:tc>
          <w:tcPr>
            <w:tcW w:w="6141" w:type="dxa"/>
            <w:gridSpan w:val="2"/>
            <w:shd w:val="clear" w:color="auto" w:fill="B4C6E7" w:themeFill="accent1" w:themeFillTint="66"/>
          </w:tcPr>
          <w:p w14:paraId="30D813B3" w14:textId="77777777" w:rsidR="00BC6BFF" w:rsidRPr="00BC6BFF" w:rsidRDefault="00BC6BFF" w:rsidP="00BC6BFF">
            <w:pPr>
              <w:pStyle w:val="TableParagraph"/>
              <w:tabs>
                <w:tab w:val="left" w:pos="1305"/>
                <w:tab w:val="center" w:pos="3342"/>
              </w:tabs>
              <w:ind w:left="5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C6BF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RAZONAMIENTO VERBAL</w:t>
            </w:r>
          </w:p>
        </w:tc>
      </w:tr>
      <w:tr w:rsidR="00BC6BFF" w:rsidRPr="00BC6BFF" w14:paraId="45F3D9E6" w14:textId="77777777" w:rsidTr="00BC6BFF">
        <w:trPr>
          <w:trHeight w:val="345"/>
        </w:trPr>
        <w:tc>
          <w:tcPr>
            <w:tcW w:w="822" w:type="dxa"/>
            <w:vAlign w:val="center"/>
          </w:tcPr>
          <w:p w14:paraId="1A2FC654" w14:textId="77777777" w:rsidR="00BC6BFF" w:rsidRPr="00BC6BFF" w:rsidRDefault="00BC6BFF" w:rsidP="00BC6BFF">
            <w:pPr>
              <w:pStyle w:val="TableParagraph"/>
              <w:spacing w:line="243" w:lineRule="exact"/>
              <w:ind w:left="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5319" w:type="dxa"/>
          </w:tcPr>
          <w:p w14:paraId="35D84C4C" w14:textId="77777777" w:rsidR="00BC6BFF" w:rsidRPr="00BC6BFF" w:rsidRDefault="00BC6BFF" w:rsidP="00BC6BFF">
            <w:pPr>
              <w:pStyle w:val="TableParagraph"/>
              <w:spacing w:line="243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Antónimos</w:t>
            </w:r>
          </w:p>
        </w:tc>
      </w:tr>
      <w:tr w:rsidR="00BC6BFF" w:rsidRPr="00BC6BFF" w14:paraId="67653410" w14:textId="77777777" w:rsidTr="00BC6BFF">
        <w:trPr>
          <w:trHeight w:val="344"/>
        </w:trPr>
        <w:tc>
          <w:tcPr>
            <w:tcW w:w="822" w:type="dxa"/>
            <w:vAlign w:val="center"/>
          </w:tcPr>
          <w:p w14:paraId="36FB21AD" w14:textId="77777777" w:rsidR="00BC6BFF" w:rsidRPr="00BC6BFF" w:rsidRDefault="00BC6BFF" w:rsidP="00BC6BFF">
            <w:pPr>
              <w:pStyle w:val="TableParagraph"/>
              <w:spacing w:line="243" w:lineRule="exact"/>
              <w:ind w:left="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5319" w:type="dxa"/>
          </w:tcPr>
          <w:p w14:paraId="5B47AA82" w14:textId="77777777" w:rsidR="00BC6BFF" w:rsidRPr="00BC6BFF" w:rsidRDefault="00BC6BFF" w:rsidP="00BC6BFF">
            <w:pPr>
              <w:pStyle w:val="TableParagraph"/>
              <w:spacing w:line="243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Comprensión</w:t>
            </w:r>
            <w:r w:rsidRPr="00BC6BFF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lectora</w:t>
            </w:r>
          </w:p>
        </w:tc>
      </w:tr>
      <w:tr w:rsidR="00BC6BFF" w:rsidRPr="00BC6BFF" w14:paraId="208C3568" w14:textId="77777777" w:rsidTr="00BC6BFF">
        <w:trPr>
          <w:trHeight w:val="344"/>
        </w:trPr>
        <w:tc>
          <w:tcPr>
            <w:tcW w:w="822" w:type="dxa"/>
            <w:vAlign w:val="center"/>
          </w:tcPr>
          <w:p w14:paraId="308B26CD" w14:textId="77777777" w:rsidR="00BC6BFF" w:rsidRPr="00BC6BFF" w:rsidRDefault="00BC6BFF" w:rsidP="00BC6BFF">
            <w:pPr>
              <w:pStyle w:val="TableParagraph"/>
              <w:spacing w:line="243" w:lineRule="exact"/>
              <w:ind w:left="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5319" w:type="dxa"/>
          </w:tcPr>
          <w:p w14:paraId="655C49E8" w14:textId="77777777" w:rsidR="00BC6BFF" w:rsidRPr="00BC6BFF" w:rsidRDefault="00BC6BFF" w:rsidP="00BC6BFF">
            <w:pPr>
              <w:pStyle w:val="TableParagraph"/>
              <w:spacing w:line="243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Sinónimos</w:t>
            </w:r>
          </w:p>
        </w:tc>
      </w:tr>
      <w:tr w:rsidR="00BC6BFF" w:rsidRPr="00BC6BFF" w14:paraId="7FA394AD" w14:textId="77777777" w:rsidTr="00BC6BFF">
        <w:trPr>
          <w:trHeight w:val="274"/>
        </w:trPr>
        <w:tc>
          <w:tcPr>
            <w:tcW w:w="822" w:type="dxa"/>
            <w:vAlign w:val="center"/>
          </w:tcPr>
          <w:p w14:paraId="3DE98E61" w14:textId="77777777" w:rsidR="00BC6BFF" w:rsidRPr="00BC6BFF" w:rsidRDefault="00BC6BFF" w:rsidP="00BC6BFF">
            <w:pPr>
              <w:pStyle w:val="TableParagraph"/>
              <w:spacing w:line="243" w:lineRule="exact"/>
              <w:ind w:left="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5319" w:type="dxa"/>
          </w:tcPr>
          <w:p w14:paraId="4407F089" w14:textId="77777777" w:rsidR="00BC6BFF" w:rsidRPr="00BC6BFF" w:rsidRDefault="00BC6BFF" w:rsidP="00BC6BFF">
            <w:pPr>
              <w:pStyle w:val="TableParagraph"/>
              <w:spacing w:line="240" w:lineRule="auto"/>
              <w:ind w:right="8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Oraciones</w:t>
            </w:r>
            <w:r w:rsidRPr="00BC6BFF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BC6BF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incompletas</w:t>
            </w:r>
          </w:p>
        </w:tc>
      </w:tr>
      <w:tr w:rsidR="00BC6BFF" w:rsidRPr="00BC6BFF" w14:paraId="78F0ABD4" w14:textId="77777777" w:rsidTr="00BC6BFF">
        <w:trPr>
          <w:trHeight w:val="385"/>
        </w:trPr>
        <w:tc>
          <w:tcPr>
            <w:tcW w:w="822" w:type="dxa"/>
            <w:vAlign w:val="center"/>
          </w:tcPr>
          <w:p w14:paraId="418BBA0B" w14:textId="77777777" w:rsidR="00BC6BFF" w:rsidRPr="00BC6BFF" w:rsidRDefault="00BC6BFF" w:rsidP="00BC6BFF">
            <w:pPr>
              <w:pStyle w:val="TableParagraph"/>
              <w:spacing w:line="243" w:lineRule="exact"/>
              <w:ind w:left="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5319" w:type="dxa"/>
          </w:tcPr>
          <w:p w14:paraId="286D01F4" w14:textId="77777777" w:rsidR="00BC6BFF" w:rsidRPr="00BC6BFF" w:rsidRDefault="00BC6BFF" w:rsidP="00BC6BFF">
            <w:pPr>
              <w:pStyle w:val="TableParagraph"/>
              <w:spacing w:line="240" w:lineRule="auto"/>
              <w:ind w:right="8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Palabras</w:t>
            </w:r>
            <w:r w:rsidRPr="00BC6BFF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BC6BF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homógrafas,</w:t>
            </w:r>
            <w:r w:rsidRPr="00BC6BFF">
              <w:rPr>
                <w:rFonts w:ascii="Times New Roman" w:hAnsi="Times New Roman" w:cs="Times New Roman"/>
                <w:bCs/>
                <w:spacing w:val="-43"/>
                <w:sz w:val="24"/>
                <w:szCs w:val="24"/>
              </w:rPr>
              <w:t xml:space="preserve"> </w:t>
            </w: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homófonas,</w:t>
            </w:r>
            <w:r w:rsidRPr="00BC6BFF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parónimas</w:t>
            </w:r>
          </w:p>
        </w:tc>
      </w:tr>
      <w:tr w:rsidR="00BC6BFF" w:rsidRPr="00BC6BFF" w14:paraId="3C1D7E0E" w14:textId="77777777" w:rsidTr="00BC6BFF">
        <w:trPr>
          <w:trHeight w:val="346"/>
        </w:trPr>
        <w:tc>
          <w:tcPr>
            <w:tcW w:w="822" w:type="dxa"/>
            <w:vAlign w:val="center"/>
          </w:tcPr>
          <w:p w14:paraId="43FCDB14" w14:textId="77777777" w:rsidR="00BC6BFF" w:rsidRPr="00BC6BFF" w:rsidRDefault="00BC6BFF" w:rsidP="00BC6BFF">
            <w:pPr>
              <w:pStyle w:val="TableParagraph"/>
              <w:spacing w:before="1" w:line="240" w:lineRule="auto"/>
              <w:ind w:left="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5319" w:type="dxa"/>
          </w:tcPr>
          <w:p w14:paraId="566D59DE" w14:textId="77777777" w:rsidR="00BC6BFF" w:rsidRPr="00BC6BFF" w:rsidRDefault="00BC6BFF" w:rsidP="00BC6BFF">
            <w:pPr>
              <w:pStyle w:val="TableParagraph"/>
              <w:spacing w:before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Analogías</w:t>
            </w:r>
          </w:p>
        </w:tc>
      </w:tr>
      <w:tr w:rsidR="00BC6BFF" w:rsidRPr="00BC6BFF" w14:paraId="620951A1" w14:textId="77777777" w:rsidTr="00BC6BFF">
        <w:trPr>
          <w:trHeight w:val="304"/>
        </w:trPr>
        <w:tc>
          <w:tcPr>
            <w:tcW w:w="822" w:type="dxa"/>
            <w:vAlign w:val="center"/>
          </w:tcPr>
          <w:p w14:paraId="5279A1D9" w14:textId="77777777" w:rsidR="00BC6BFF" w:rsidRPr="00BC6BFF" w:rsidRDefault="00BC6BFF" w:rsidP="00BC6BFF">
            <w:pPr>
              <w:pStyle w:val="TableParagraph"/>
              <w:spacing w:line="243" w:lineRule="exact"/>
              <w:ind w:left="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5319" w:type="dxa"/>
          </w:tcPr>
          <w:p w14:paraId="1F42D59B" w14:textId="77777777" w:rsidR="00BC6BFF" w:rsidRPr="00BC6BFF" w:rsidRDefault="00BC6BFF" w:rsidP="00BC6BFF">
            <w:pPr>
              <w:pStyle w:val="TableParagraph"/>
              <w:spacing w:line="240" w:lineRule="auto"/>
              <w:ind w:right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Refranes</w:t>
            </w:r>
            <w:r w:rsidRPr="00BC6BFF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interpretados</w:t>
            </w:r>
          </w:p>
        </w:tc>
      </w:tr>
      <w:tr w:rsidR="00BC6BFF" w:rsidRPr="00BC6BFF" w14:paraId="5EE7B53B" w14:textId="77777777" w:rsidTr="00BC6BFF">
        <w:trPr>
          <w:trHeight w:val="346"/>
        </w:trPr>
        <w:tc>
          <w:tcPr>
            <w:tcW w:w="822" w:type="dxa"/>
            <w:vAlign w:val="center"/>
          </w:tcPr>
          <w:p w14:paraId="1A8D81C8" w14:textId="77777777" w:rsidR="00BC6BFF" w:rsidRPr="00BC6BFF" w:rsidRDefault="00BC6BFF" w:rsidP="00BC6BFF">
            <w:pPr>
              <w:pStyle w:val="TableParagraph"/>
              <w:spacing w:before="1" w:line="240" w:lineRule="auto"/>
              <w:ind w:left="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5319" w:type="dxa"/>
          </w:tcPr>
          <w:p w14:paraId="41B88589" w14:textId="77777777" w:rsidR="00BC6BFF" w:rsidRPr="00BC6BFF" w:rsidRDefault="00BC6BFF" w:rsidP="00BC6BFF">
            <w:pPr>
              <w:pStyle w:val="TableParagraph"/>
              <w:spacing w:before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Selección</w:t>
            </w:r>
            <w:r w:rsidRPr="00BC6BF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lógica</w:t>
            </w:r>
          </w:p>
        </w:tc>
      </w:tr>
      <w:tr w:rsidR="00BC6BFF" w:rsidRPr="00BC6BFF" w14:paraId="2E408FBF" w14:textId="77777777" w:rsidTr="00BC6BFF">
        <w:trPr>
          <w:trHeight w:val="344"/>
        </w:trPr>
        <w:tc>
          <w:tcPr>
            <w:tcW w:w="822" w:type="dxa"/>
            <w:vAlign w:val="center"/>
          </w:tcPr>
          <w:p w14:paraId="7A2077D0" w14:textId="77777777" w:rsidR="00BC6BFF" w:rsidRPr="00BC6BFF" w:rsidRDefault="00BC6BFF" w:rsidP="00BC6BFF">
            <w:pPr>
              <w:pStyle w:val="TableParagraph"/>
              <w:spacing w:line="243" w:lineRule="exact"/>
              <w:ind w:left="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9</w:t>
            </w:r>
          </w:p>
        </w:tc>
        <w:tc>
          <w:tcPr>
            <w:tcW w:w="5319" w:type="dxa"/>
          </w:tcPr>
          <w:p w14:paraId="4AA16F88" w14:textId="77777777" w:rsidR="00BC6BFF" w:rsidRPr="00BC6BFF" w:rsidRDefault="00BC6BFF" w:rsidP="00BC6BFF">
            <w:pPr>
              <w:pStyle w:val="TableParagraph"/>
              <w:spacing w:line="243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Término</w:t>
            </w:r>
            <w:r w:rsidRPr="00BC6BF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excluido</w:t>
            </w:r>
          </w:p>
        </w:tc>
      </w:tr>
    </w:tbl>
    <w:p w14:paraId="1980D254" w14:textId="5CD6D3F4" w:rsidR="00BC6BFF" w:rsidRPr="00BC6BFF" w:rsidRDefault="00BC6BFF" w:rsidP="00BC6B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224C0E" w14:textId="77777777" w:rsidR="00BC6BFF" w:rsidRPr="00BC6BFF" w:rsidRDefault="00BC6BFF" w:rsidP="00BC6B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69521A" w14:textId="77777777" w:rsidR="00BC6BFF" w:rsidRPr="00BC6BFF" w:rsidRDefault="00BC6BFF" w:rsidP="00BC6B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E53126" w14:textId="77777777" w:rsidR="00BC6BFF" w:rsidRPr="00BC6BFF" w:rsidRDefault="00BC6BFF" w:rsidP="00BC6B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22D26A" w14:textId="77777777" w:rsidR="00BC6BFF" w:rsidRPr="00BC6BFF" w:rsidRDefault="00BC6BFF" w:rsidP="00BC6B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1B89CB" w14:textId="77777777" w:rsidR="00BC6BFF" w:rsidRPr="00BC6BFF" w:rsidRDefault="00BC6BFF" w:rsidP="00BC6B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8CF451" w14:textId="77777777" w:rsidR="00BC6BFF" w:rsidRPr="00BC6BFF" w:rsidRDefault="00BC6BFF" w:rsidP="00BC6B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1D3676" w14:textId="016218DF" w:rsidR="00BC6BFF" w:rsidRDefault="00BC6BFF" w:rsidP="00BC6BFF">
      <w:pPr>
        <w:pStyle w:val="Default"/>
        <w:jc w:val="both"/>
        <w:rPr>
          <w:rFonts w:ascii="Times New Roman" w:hAnsi="Times New Roman" w:cs="Times New Roman"/>
        </w:rPr>
      </w:pPr>
      <w:r w:rsidRPr="00BC6BFF">
        <w:rPr>
          <w:rFonts w:ascii="Times New Roman" w:hAnsi="Times New Roman" w:cs="Times New Roman"/>
        </w:rPr>
        <w:br w:type="textWrapping" w:clear="all"/>
      </w:r>
    </w:p>
    <w:p w14:paraId="2B60D4D7" w14:textId="77777777" w:rsidR="00BC6BFF" w:rsidRPr="00BC6BFF" w:rsidRDefault="00BC6BFF" w:rsidP="00BC6BFF">
      <w:pPr>
        <w:pStyle w:val="Default"/>
        <w:jc w:val="both"/>
        <w:rPr>
          <w:rFonts w:ascii="Times New Roman" w:hAnsi="Times New Roman" w:cs="Times New Roman"/>
        </w:rPr>
      </w:pPr>
    </w:p>
    <w:p w14:paraId="337B39E4" w14:textId="2CB6377C" w:rsidR="00BC6BFF" w:rsidRPr="00BC6BFF" w:rsidRDefault="00BC6BFF" w:rsidP="00BC6BFF">
      <w:pPr>
        <w:pStyle w:val="Default"/>
        <w:jc w:val="both"/>
        <w:rPr>
          <w:rFonts w:ascii="Times New Roman" w:hAnsi="Times New Roman" w:cs="Times New Roman"/>
        </w:rPr>
      </w:pPr>
      <w:r w:rsidRPr="00BC6BFF">
        <w:rPr>
          <w:rFonts w:ascii="Times New Roman" w:hAnsi="Times New Roman" w:cs="Times New Roman"/>
        </w:rPr>
        <w:t xml:space="preserve">El </w:t>
      </w:r>
      <w:r w:rsidRPr="00BC6BFF">
        <w:rPr>
          <w:rFonts w:ascii="Times New Roman" w:hAnsi="Times New Roman" w:cs="Times New Roman"/>
          <w:b/>
          <w:bCs/>
        </w:rPr>
        <w:t>razonamiento lógico</w:t>
      </w:r>
      <w:r w:rsidRPr="00BC6BFF">
        <w:rPr>
          <w:rFonts w:ascii="Times New Roman" w:hAnsi="Times New Roman" w:cs="Times New Roman"/>
        </w:rPr>
        <w:t xml:space="preserve"> comprende la capacidad para procesar la información a través de herramientas del pensamiento como: el análisis y la síntesis, la imaginación espacial, el reconocimiento de patrones y la habilidad de trabajar y razonar con símbolos o situaciones no verbales. Los temas son:</w:t>
      </w:r>
    </w:p>
    <w:p w14:paraId="3FF815BD" w14:textId="77777777" w:rsidR="00BC6BFF" w:rsidRPr="00BC6BFF" w:rsidRDefault="00BC6BFF" w:rsidP="00BC6BFF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5319"/>
      </w:tblGrid>
      <w:tr w:rsidR="00315DE8" w:rsidRPr="00BC6BFF" w14:paraId="5628CA0A" w14:textId="77777777" w:rsidTr="008670BC">
        <w:trPr>
          <w:trHeight w:val="264"/>
          <w:jc w:val="center"/>
        </w:trPr>
        <w:tc>
          <w:tcPr>
            <w:tcW w:w="6141" w:type="dxa"/>
            <w:gridSpan w:val="2"/>
            <w:shd w:val="clear" w:color="auto" w:fill="F4B083" w:themeFill="accent2" w:themeFillTint="99"/>
          </w:tcPr>
          <w:p w14:paraId="5DDF2F5C" w14:textId="090C27C0" w:rsidR="00315DE8" w:rsidRPr="00BC6BFF" w:rsidRDefault="00315DE8" w:rsidP="00BC6BFF">
            <w:pPr>
              <w:pStyle w:val="TableParagraph"/>
              <w:ind w:left="5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/>
                <w:sz w:val="24"/>
                <w:szCs w:val="24"/>
              </w:rPr>
              <w:t>RAZONAMIENTO LÓGICO</w:t>
            </w:r>
          </w:p>
        </w:tc>
      </w:tr>
      <w:tr w:rsidR="00315DE8" w:rsidRPr="00BC6BFF" w14:paraId="2F64BDC5" w14:textId="77777777" w:rsidTr="008670BC">
        <w:trPr>
          <w:trHeight w:val="345"/>
          <w:jc w:val="center"/>
        </w:trPr>
        <w:tc>
          <w:tcPr>
            <w:tcW w:w="822" w:type="dxa"/>
            <w:vAlign w:val="center"/>
          </w:tcPr>
          <w:p w14:paraId="60A709AE" w14:textId="77777777" w:rsidR="00315DE8" w:rsidRPr="00BC6BFF" w:rsidRDefault="00315DE8" w:rsidP="00BC6BFF">
            <w:pPr>
              <w:pStyle w:val="TableParagraph"/>
              <w:spacing w:line="243" w:lineRule="exact"/>
              <w:ind w:left="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5319" w:type="dxa"/>
            <w:vAlign w:val="center"/>
          </w:tcPr>
          <w:p w14:paraId="032B4E3A" w14:textId="3682E9A6" w:rsidR="00315DE8" w:rsidRPr="00BC6BFF" w:rsidRDefault="00315DE8" w:rsidP="00BC6BFF">
            <w:pPr>
              <w:pStyle w:val="TableParagraph"/>
              <w:spacing w:line="243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Series numéricas.</w:t>
            </w:r>
          </w:p>
        </w:tc>
      </w:tr>
      <w:tr w:rsidR="00315DE8" w:rsidRPr="00BC6BFF" w14:paraId="578A3159" w14:textId="77777777" w:rsidTr="008670BC">
        <w:trPr>
          <w:trHeight w:val="344"/>
          <w:jc w:val="center"/>
        </w:trPr>
        <w:tc>
          <w:tcPr>
            <w:tcW w:w="822" w:type="dxa"/>
            <w:vAlign w:val="center"/>
          </w:tcPr>
          <w:p w14:paraId="46D0F8F9" w14:textId="77777777" w:rsidR="00315DE8" w:rsidRPr="00BC6BFF" w:rsidRDefault="00315DE8" w:rsidP="00BC6BFF">
            <w:pPr>
              <w:pStyle w:val="TableParagraph"/>
              <w:spacing w:line="243" w:lineRule="exact"/>
              <w:ind w:left="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5319" w:type="dxa"/>
            <w:vAlign w:val="center"/>
          </w:tcPr>
          <w:p w14:paraId="59EC4119" w14:textId="574A56C0" w:rsidR="00315DE8" w:rsidRPr="00BC6BFF" w:rsidRDefault="00315DE8" w:rsidP="00BC6BFF">
            <w:pPr>
              <w:pStyle w:val="TableParagraph"/>
              <w:spacing w:line="243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Series alfabéticas.</w:t>
            </w:r>
          </w:p>
        </w:tc>
      </w:tr>
      <w:tr w:rsidR="00315DE8" w:rsidRPr="00BC6BFF" w14:paraId="3E558CD7" w14:textId="77777777" w:rsidTr="008670BC">
        <w:trPr>
          <w:trHeight w:val="344"/>
          <w:jc w:val="center"/>
        </w:trPr>
        <w:tc>
          <w:tcPr>
            <w:tcW w:w="822" w:type="dxa"/>
            <w:vAlign w:val="center"/>
          </w:tcPr>
          <w:p w14:paraId="6B94184B" w14:textId="77777777" w:rsidR="00315DE8" w:rsidRPr="00BC6BFF" w:rsidRDefault="00315DE8" w:rsidP="00BC6BFF">
            <w:pPr>
              <w:pStyle w:val="TableParagraph"/>
              <w:spacing w:line="243" w:lineRule="exact"/>
              <w:ind w:left="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5319" w:type="dxa"/>
            <w:vAlign w:val="center"/>
          </w:tcPr>
          <w:p w14:paraId="2B74E3D8" w14:textId="59EEEE99" w:rsidR="00315DE8" w:rsidRPr="00BC6BFF" w:rsidRDefault="00315DE8" w:rsidP="00BC6BFF">
            <w:pPr>
              <w:pStyle w:val="TableParagraph"/>
              <w:spacing w:line="243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Series alfanuméricas.</w:t>
            </w:r>
          </w:p>
        </w:tc>
      </w:tr>
      <w:tr w:rsidR="00315DE8" w:rsidRPr="00BC6BFF" w14:paraId="43CC42F2" w14:textId="77777777" w:rsidTr="008670BC">
        <w:trPr>
          <w:trHeight w:val="274"/>
          <w:jc w:val="center"/>
        </w:trPr>
        <w:tc>
          <w:tcPr>
            <w:tcW w:w="822" w:type="dxa"/>
            <w:vAlign w:val="center"/>
          </w:tcPr>
          <w:p w14:paraId="7308F6DC" w14:textId="77777777" w:rsidR="00315DE8" w:rsidRPr="00BC6BFF" w:rsidRDefault="00315DE8" w:rsidP="00BC6BFF">
            <w:pPr>
              <w:pStyle w:val="TableParagraph"/>
              <w:spacing w:line="243" w:lineRule="exact"/>
              <w:ind w:left="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5319" w:type="dxa"/>
            <w:vAlign w:val="center"/>
          </w:tcPr>
          <w:p w14:paraId="39F33F32" w14:textId="3E443E2C" w:rsidR="00315DE8" w:rsidRPr="00BC6BFF" w:rsidRDefault="00315DE8" w:rsidP="00BC6BFF">
            <w:pPr>
              <w:pStyle w:val="TableParagraph"/>
              <w:spacing w:line="240" w:lineRule="auto"/>
              <w:ind w:right="8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Rotación de</w:t>
            </w:r>
            <w:r w:rsidRPr="00BC6BF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figuras en 2D.</w:t>
            </w:r>
          </w:p>
        </w:tc>
      </w:tr>
      <w:tr w:rsidR="00315DE8" w:rsidRPr="00BC6BFF" w14:paraId="42AF601D" w14:textId="77777777" w:rsidTr="008670BC">
        <w:trPr>
          <w:trHeight w:val="385"/>
          <w:jc w:val="center"/>
        </w:trPr>
        <w:tc>
          <w:tcPr>
            <w:tcW w:w="822" w:type="dxa"/>
            <w:vAlign w:val="center"/>
          </w:tcPr>
          <w:p w14:paraId="0E311954" w14:textId="77777777" w:rsidR="00315DE8" w:rsidRPr="00BC6BFF" w:rsidRDefault="00315DE8" w:rsidP="00BC6BFF">
            <w:pPr>
              <w:pStyle w:val="TableParagraph"/>
              <w:spacing w:line="243" w:lineRule="exact"/>
              <w:ind w:left="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5319" w:type="dxa"/>
            <w:vAlign w:val="center"/>
          </w:tcPr>
          <w:p w14:paraId="0CA57613" w14:textId="5B11E89D" w:rsidR="00315DE8" w:rsidRPr="00BC6BFF" w:rsidRDefault="00315DE8" w:rsidP="00BC6BFF">
            <w:pPr>
              <w:pStyle w:val="TableParagraph"/>
              <w:spacing w:line="240" w:lineRule="auto"/>
              <w:ind w:right="8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Transformación de</w:t>
            </w:r>
            <w:r w:rsidRPr="00BC6BF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figuras en 2D.</w:t>
            </w:r>
          </w:p>
        </w:tc>
      </w:tr>
      <w:tr w:rsidR="00315DE8" w:rsidRPr="00BC6BFF" w14:paraId="24D22BB8" w14:textId="77777777" w:rsidTr="008670BC">
        <w:trPr>
          <w:trHeight w:val="346"/>
          <w:jc w:val="center"/>
        </w:trPr>
        <w:tc>
          <w:tcPr>
            <w:tcW w:w="822" w:type="dxa"/>
            <w:vAlign w:val="center"/>
          </w:tcPr>
          <w:p w14:paraId="5D070EA0" w14:textId="77777777" w:rsidR="00315DE8" w:rsidRPr="00BC6BFF" w:rsidRDefault="00315DE8" w:rsidP="00BC6BFF">
            <w:pPr>
              <w:pStyle w:val="TableParagraph"/>
              <w:spacing w:before="1" w:line="240" w:lineRule="auto"/>
              <w:ind w:left="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5319" w:type="dxa"/>
            <w:vAlign w:val="center"/>
          </w:tcPr>
          <w:p w14:paraId="72C90503" w14:textId="5915A593" w:rsidR="00315DE8" w:rsidRPr="00BC6BFF" w:rsidRDefault="00315DE8" w:rsidP="00BC6BFF">
            <w:pPr>
              <w:pStyle w:val="TableParagraph"/>
              <w:spacing w:before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Proyección de objetos.</w:t>
            </w:r>
          </w:p>
        </w:tc>
      </w:tr>
      <w:tr w:rsidR="00315DE8" w:rsidRPr="00BC6BFF" w14:paraId="55F3D072" w14:textId="77777777" w:rsidTr="008670BC">
        <w:trPr>
          <w:trHeight w:val="304"/>
          <w:jc w:val="center"/>
        </w:trPr>
        <w:tc>
          <w:tcPr>
            <w:tcW w:w="822" w:type="dxa"/>
            <w:vAlign w:val="center"/>
          </w:tcPr>
          <w:p w14:paraId="2DE3ED6A" w14:textId="77777777" w:rsidR="00315DE8" w:rsidRPr="00BC6BFF" w:rsidRDefault="00315DE8" w:rsidP="00BC6BFF">
            <w:pPr>
              <w:pStyle w:val="TableParagraph"/>
              <w:spacing w:line="243" w:lineRule="exact"/>
              <w:ind w:left="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5319" w:type="dxa"/>
            <w:vAlign w:val="center"/>
          </w:tcPr>
          <w:p w14:paraId="1C17BE7F" w14:textId="2E7DF0BD" w:rsidR="00315DE8" w:rsidRPr="00BC6BFF" w:rsidRDefault="00315DE8" w:rsidP="00BC6BFF">
            <w:pPr>
              <w:pStyle w:val="TableParagraph"/>
              <w:spacing w:line="240" w:lineRule="auto"/>
              <w:ind w:right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Secuencias gráficas.</w:t>
            </w:r>
          </w:p>
        </w:tc>
      </w:tr>
      <w:tr w:rsidR="00315DE8" w:rsidRPr="00BC6BFF" w14:paraId="709FB3D0" w14:textId="77777777" w:rsidTr="008670BC">
        <w:trPr>
          <w:trHeight w:val="346"/>
          <w:jc w:val="center"/>
        </w:trPr>
        <w:tc>
          <w:tcPr>
            <w:tcW w:w="822" w:type="dxa"/>
            <w:vAlign w:val="center"/>
          </w:tcPr>
          <w:p w14:paraId="05909C1B" w14:textId="77777777" w:rsidR="00315DE8" w:rsidRPr="00BC6BFF" w:rsidRDefault="00315DE8" w:rsidP="00BC6BFF">
            <w:pPr>
              <w:pStyle w:val="TableParagraph"/>
              <w:spacing w:before="1" w:line="240" w:lineRule="auto"/>
              <w:ind w:left="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5319" w:type="dxa"/>
            <w:vAlign w:val="center"/>
          </w:tcPr>
          <w:p w14:paraId="17C1607F" w14:textId="30895190" w:rsidR="00315DE8" w:rsidRPr="00BC6BFF" w:rsidRDefault="00315DE8" w:rsidP="00BC6BFF">
            <w:pPr>
              <w:pStyle w:val="TableParagraph"/>
              <w:spacing w:before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Semejanzas gráficas.</w:t>
            </w:r>
          </w:p>
        </w:tc>
      </w:tr>
      <w:tr w:rsidR="00315DE8" w:rsidRPr="00BC6BFF" w14:paraId="0290FF09" w14:textId="77777777" w:rsidTr="008670BC">
        <w:trPr>
          <w:trHeight w:val="344"/>
          <w:jc w:val="center"/>
        </w:trPr>
        <w:tc>
          <w:tcPr>
            <w:tcW w:w="822" w:type="dxa"/>
            <w:vAlign w:val="center"/>
          </w:tcPr>
          <w:p w14:paraId="39C21DEF" w14:textId="77777777" w:rsidR="00315DE8" w:rsidRPr="00BC6BFF" w:rsidRDefault="00315DE8" w:rsidP="00BC6BFF">
            <w:pPr>
              <w:pStyle w:val="TableParagraph"/>
              <w:spacing w:line="243" w:lineRule="exact"/>
              <w:ind w:left="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9</w:t>
            </w:r>
          </w:p>
        </w:tc>
        <w:tc>
          <w:tcPr>
            <w:tcW w:w="5319" w:type="dxa"/>
            <w:vAlign w:val="center"/>
          </w:tcPr>
          <w:p w14:paraId="67033EE7" w14:textId="1F0ABF0E" w:rsidR="00315DE8" w:rsidRPr="00BC6BFF" w:rsidRDefault="00315DE8" w:rsidP="00BC6BFF">
            <w:pPr>
              <w:pStyle w:val="TableParagraph"/>
              <w:spacing w:line="243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Diferencias gráficas.</w:t>
            </w:r>
          </w:p>
        </w:tc>
      </w:tr>
      <w:tr w:rsidR="00315DE8" w:rsidRPr="00BC6BFF" w14:paraId="3D9F2DD9" w14:textId="77777777" w:rsidTr="008670BC">
        <w:trPr>
          <w:trHeight w:val="344"/>
          <w:jc w:val="center"/>
        </w:trPr>
        <w:tc>
          <w:tcPr>
            <w:tcW w:w="822" w:type="dxa"/>
            <w:vAlign w:val="center"/>
          </w:tcPr>
          <w:p w14:paraId="0CF57F7A" w14:textId="0E096A95" w:rsidR="00315DE8" w:rsidRPr="00BC6BFF" w:rsidRDefault="00315DE8" w:rsidP="00BC6BFF">
            <w:pPr>
              <w:pStyle w:val="TableParagraph"/>
              <w:spacing w:line="243" w:lineRule="exact"/>
              <w:ind w:left="107"/>
              <w:jc w:val="center"/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19" w:type="dxa"/>
            <w:vAlign w:val="center"/>
          </w:tcPr>
          <w:p w14:paraId="41282EFB" w14:textId="79A0A49F" w:rsidR="00315DE8" w:rsidRPr="00BC6BFF" w:rsidRDefault="00315DE8" w:rsidP="00BC6BFF">
            <w:pPr>
              <w:pStyle w:val="TableParagraph"/>
              <w:spacing w:line="243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Certezas, relaciones y ordenamiento.</w:t>
            </w:r>
          </w:p>
        </w:tc>
      </w:tr>
      <w:tr w:rsidR="00315DE8" w:rsidRPr="00BC6BFF" w14:paraId="0B41EBAF" w14:textId="77777777" w:rsidTr="008670BC">
        <w:trPr>
          <w:trHeight w:val="344"/>
          <w:jc w:val="center"/>
        </w:trPr>
        <w:tc>
          <w:tcPr>
            <w:tcW w:w="822" w:type="dxa"/>
            <w:vAlign w:val="center"/>
          </w:tcPr>
          <w:p w14:paraId="6DAF3EF2" w14:textId="39262A20" w:rsidR="00315DE8" w:rsidRPr="00BC6BFF" w:rsidRDefault="00315DE8" w:rsidP="00BC6BFF">
            <w:pPr>
              <w:pStyle w:val="TableParagraph"/>
              <w:spacing w:line="243" w:lineRule="exact"/>
              <w:ind w:left="107"/>
              <w:jc w:val="center"/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11</w:t>
            </w:r>
          </w:p>
        </w:tc>
        <w:tc>
          <w:tcPr>
            <w:tcW w:w="5319" w:type="dxa"/>
            <w:vAlign w:val="center"/>
          </w:tcPr>
          <w:p w14:paraId="770EBBA7" w14:textId="22D85DED" w:rsidR="00315DE8" w:rsidRPr="00BC6BFF" w:rsidRDefault="00315DE8" w:rsidP="00BC6BFF">
            <w:pPr>
              <w:pStyle w:val="TableParagraph"/>
              <w:spacing w:line="243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Analogías gráficas.</w:t>
            </w:r>
          </w:p>
        </w:tc>
      </w:tr>
      <w:tr w:rsidR="00315DE8" w:rsidRPr="00BC6BFF" w14:paraId="63687854" w14:textId="77777777" w:rsidTr="008670BC">
        <w:trPr>
          <w:trHeight w:val="344"/>
          <w:jc w:val="center"/>
        </w:trPr>
        <w:tc>
          <w:tcPr>
            <w:tcW w:w="822" w:type="dxa"/>
            <w:vAlign w:val="center"/>
          </w:tcPr>
          <w:p w14:paraId="5F160F6B" w14:textId="72B09E5F" w:rsidR="00315DE8" w:rsidRPr="00BC6BFF" w:rsidRDefault="00315DE8" w:rsidP="00BC6BFF">
            <w:pPr>
              <w:pStyle w:val="TableParagraph"/>
              <w:spacing w:line="243" w:lineRule="exact"/>
              <w:ind w:left="107"/>
              <w:jc w:val="center"/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5319" w:type="dxa"/>
            <w:vAlign w:val="center"/>
          </w:tcPr>
          <w:p w14:paraId="6C5A6884" w14:textId="21EFFB55" w:rsidR="00315DE8" w:rsidRPr="00BC6BFF" w:rsidRDefault="00315DE8" w:rsidP="00BC6BFF">
            <w:pPr>
              <w:pStyle w:val="TableParagraph"/>
              <w:tabs>
                <w:tab w:val="left" w:pos="1065"/>
              </w:tabs>
              <w:spacing w:line="243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Matrices gráficas.</w:t>
            </w:r>
          </w:p>
        </w:tc>
      </w:tr>
      <w:tr w:rsidR="00315DE8" w:rsidRPr="00BC6BFF" w14:paraId="6DDA77C6" w14:textId="77777777" w:rsidTr="008670BC">
        <w:trPr>
          <w:trHeight w:val="70"/>
          <w:jc w:val="center"/>
        </w:trPr>
        <w:tc>
          <w:tcPr>
            <w:tcW w:w="822" w:type="dxa"/>
            <w:vAlign w:val="center"/>
          </w:tcPr>
          <w:p w14:paraId="7B32E04A" w14:textId="0B1E211C" w:rsidR="00315DE8" w:rsidRPr="00BC6BFF" w:rsidRDefault="00315DE8" w:rsidP="00BC6BFF">
            <w:pPr>
              <w:pStyle w:val="TableParagraph"/>
              <w:spacing w:line="243" w:lineRule="exact"/>
              <w:ind w:left="107"/>
              <w:jc w:val="center"/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13</w:t>
            </w:r>
          </w:p>
        </w:tc>
        <w:tc>
          <w:tcPr>
            <w:tcW w:w="5319" w:type="dxa"/>
            <w:vAlign w:val="center"/>
          </w:tcPr>
          <w:p w14:paraId="69D3651A" w14:textId="0E89AA26" w:rsidR="00315DE8" w:rsidRPr="00BC6BFF" w:rsidRDefault="00315DE8" w:rsidP="00BC6BFF">
            <w:pPr>
              <w:pStyle w:val="TableParagraph"/>
              <w:tabs>
                <w:tab w:val="left" w:pos="1065"/>
              </w:tabs>
              <w:spacing w:line="243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Dominós.</w:t>
            </w:r>
          </w:p>
        </w:tc>
      </w:tr>
    </w:tbl>
    <w:p w14:paraId="502E0C1A" w14:textId="3CD20DEE" w:rsidR="008670BC" w:rsidRDefault="008670BC" w:rsidP="00BC6B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6D2FEC" w14:textId="77777777" w:rsidR="00BC6BFF" w:rsidRPr="00BC6BFF" w:rsidRDefault="00BC6BFF" w:rsidP="00BC6B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C88B66" w14:textId="50989CB9" w:rsidR="00BC6BFF" w:rsidRPr="00BC6BFF" w:rsidRDefault="00BC6BFF" w:rsidP="00BC6B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C148CA" w14:textId="24663DEB" w:rsidR="00BC6BFF" w:rsidRPr="00BC6BFF" w:rsidRDefault="00BC6BFF" w:rsidP="00BC6BFF">
      <w:pPr>
        <w:jc w:val="both"/>
        <w:rPr>
          <w:rFonts w:ascii="Times New Roman" w:hAnsi="Times New Roman" w:cs="Times New Roman"/>
          <w:sz w:val="24"/>
          <w:szCs w:val="24"/>
        </w:rPr>
      </w:pPr>
      <w:r w:rsidRPr="00BC6BFF">
        <w:rPr>
          <w:rFonts w:ascii="Times New Roman" w:hAnsi="Times New Roman" w:cs="Times New Roman"/>
          <w:sz w:val="24"/>
          <w:szCs w:val="24"/>
        </w:rPr>
        <w:t xml:space="preserve">El </w:t>
      </w:r>
      <w:r w:rsidRPr="00BC6BFF">
        <w:rPr>
          <w:rFonts w:ascii="Times New Roman" w:hAnsi="Times New Roman" w:cs="Times New Roman"/>
          <w:b/>
          <w:bCs/>
          <w:sz w:val="24"/>
          <w:szCs w:val="24"/>
        </w:rPr>
        <w:t>razonamiento numérico</w:t>
      </w:r>
      <w:r w:rsidRPr="00BC6BFF">
        <w:rPr>
          <w:rFonts w:ascii="Times New Roman" w:hAnsi="Times New Roman" w:cs="Times New Roman"/>
          <w:sz w:val="24"/>
          <w:szCs w:val="24"/>
        </w:rPr>
        <w:t xml:space="preserve"> involucra la capacidad que tiene una persona para inferir relaciones que se expresan en números y la habilidad para estructurar, organizar y resolver problemas matemáticos que están vinculados con operaciones de matemática básica. Los temas son:</w:t>
      </w:r>
    </w:p>
    <w:p w14:paraId="3CA3F99D" w14:textId="77777777" w:rsidR="00BC6BFF" w:rsidRPr="00BC6BFF" w:rsidRDefault="00BC6BFF" w:rsidP="00BC6BF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5319"/>
      </w:tblGrid>
      <w:tr w:rsidR="008670BC" w:rsidRPr="00BC6BFF" w14:paraId="52EBFCA9" w14:textId="77777777" w:rsidTr="008670BC">
        <w:trPr>
          <w:trHeight w:val="264"/>
          <w:jc w:val="center"/>
        </w:trPr>
        <w:tc>
          <w:tcPr>
            <w:tcW w:w="6141" w:type="dxa"/>
            <w:gridSpan w:val="2"/>
            <w:shd w:val="clear" w:color="auto" w:fill="A8D08D" w:themeFill="accent6" w:themeFillTint="99"/>
          </w:tcPr>
          <w:p w14:paraId="7139D6A2" w14:textId="7814AC06" w:rsidR="008670BC" w:rsidRPr="00BC6BFF" w:rsidRDefault="008670BC" w:rsidP="00BC6BFF">
            <w:pPr>
              <w:pStyle w:val="TableParagraph"/>
              <w:ind w:left="5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/>
                <w:sz w:val="24"/>
                <w:szCs w:val="24"/>
              </w:rPr>
              <w:t>RAZONAMIENTO NUMÉRICO</w:t>
            </w:r>
          </w:p>
        </w:tc>
      </w:tr>
      <w:tr w:rsidR="008670BC" w:rsidRPr="00BC6BFF" w14:paraId="2ED9821D" w14:textId="77777777" w:rsidTr="008670BC">
        <w:trPr>
          <w:trHeight w:val="345"/>
          <w:jc w:val="center"/>
        </w:trPr>
        <w:tc>
          <w:tcPr>
            <w:tcW w:w="822" w:type="dxa"/>
            <w:vAlign w:val="center"/>
          </w:tcPr>
          <w:p w14:paraId="5EBB2813" w14:textId="77777777" w:rsidR="008670BC" w:rsidRPr="00BC6BFF" w:rsidRDefault="008670BC" w:rsidP="00BC6BFF">
            <w:pPr>
              <w:pStyle w:val="TableParagraph"/>
              <w:spacing w:line="24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19" w:type="dxa"/>
          </w:tcPr>
          <w:p w14:paraId="4CFD5CAF" w14:textId="4E3FC448" w:rsidR="008670BC" w:rsidRPr="00BC6BFF" w:rsidRDefault="008670BC" w:rsidP="00BC6BFF">
            <w:pPr>
              <w:pStyle w:val="TableParagraph"/>
              <w:spacing w:line="243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Operaciones básicas: Suma, resta, multiplicación y divisiones (manejo de símbolos)</w:t>
            </w:r>
          </w:p>
        </w:tc>
      </w:tr>
      <w:tr w:rsidR="008670BC" w:rsidRPr="00BC6BFF" w14:paraId="1F10CFF9" w14:textId="77777777" w:rsidTr="008670BC">
        <w:trPr>
          <w:trHeight w:val="344"/>
          <w:jc w:val="center"/>
        </w:trPr>
        <w:tc>
          <w:tcPr>
            <w:tcW w:w="822" w:type="dxa"/>
            <w:vAlign w:val="center"/>
          </w:tcPr>
          <w:p w14:paraId="69615286" w14:textId="77777777" w:rsidR="008670BC" w:rsidRPr="00BC6BFF" w:rsidRDefault="008670BC" w:rsidP="00BC6BFF">
            <w:pPr>
              <w:pStyle w:val="TableParagraph"/>
              <w:spacing w:line="24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19" w:type="dxa"/>
          </w:tcPr>
          <w:p w14:paraId="55A7BD2A" w14:textId="7F59DEF6" w:rsidR="008670BC" w:rsidRPr="00BC6BFF" w:rsidRDefault="008670BC" w:rsidP="00BC6BFF">
            <w:pPr>
              <w:pStyle w:val="TableParagraph"/>
              <w:spacing w:line="243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Jerarquía de operaciones y comprobación de operaciones básicas.</w:t>
            </w:r>
          </w:p>
        </w:tc>
      </w:tr>
      <w:tr w:rsidR="008670BC" w:rsidRPr="00BC6BFF" w14:paraId="6F939F28" w14:textId="77777777" w:rsidTr="008670BC">
        <w:trPr>
          <w:trHeight w:val="344"/>
          <w:jc w:val="center"/>
        </w:trPr>
        <w:tc>
          <w:tcPr>
            <w:tcW w:w="822" w:type="dxa"/>
            <w:vAlign w:val="center"/>
          </w:tcPr>
          <w:p w14:paraId="63074385" w14:textId="77777777" w:rsidR="008670BC" w:rsidRPr="00BC6BFF" w:rsidRDefault="008670BC" w:rsidP="00BC6BFF">
            <w:pPr>
              <w:pStyle w:val="TableParagraph"/>
              <w:spacing w:line="24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19" w:type="dxa"/>
          </w:tcPr>
          <w:p w14:paraId="28B62AC5" w14:textId="35CB7748" w:rsidR="008670BC" w:rsidRPr="00BC6BFF" w:rsidRDefault="008670BC" w:rsidP="00BC6BFF">
            <w:pPr>
              <w:pStyle w:val="TableParagraph"/>
              <w:spacing w:line="243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Máximo común divisor (MCD) y mínimo común múltiplo (MCM).</w:t>
            </w:r>
          </w:p>
        </w:tc>
      </w:tr>
      <w:tr w:rsidR="008670BC" w:rsidRPr="00BC6BFF" w14:paraId="5FEF3C8C" w14:textId="77777777" w:rsidTr="008670BC">
        <w:trPr>
          <w:trHeight w:val="274"/>
          <w:jc w:val="center"/>
        </w:trPr>
        <w:tc>
          <w:tcPr>
            <w:tcW w:w="822" w:type="dxa"/>
            <w:vAlign w:val="center"/>
          </w:tcPr>
          <w:p w14:paraId="0D4DA856" w14:textId="77777777" w:rsidR="008670BC" w:rsidRPr="00BC6BFF" w:rsidRDefault="008670BC" w:rsidP="00BC6BFF">
            <w:pPr>
              <w:pStyle w:val="TableParagraph"/>
              <w:spacing w:line="24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19" w:type="dxa"/>
          </w:tcPr>
          <w:p w14:paraId="773FA6CF" w14:textId="59ABDEFE" w:rsidR="008670BC" w:rsidRPr="00BC6BFF" w:rsidRDefault="008670BC" w:rsidP="00BC6BFF">
            <w:pPr>
              <w:pStyle w:val="TableParagraph"/>
              <w:spacing w:line="240" w:lineRule="auto"/>
              <w:ind w:right="8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Proposición lógica: proposiciones simples y compuestas.</w:t>
            </w:r>
          </w:p>
        </w:tc>
      </w:tr>
      <w:tr w:rsidR="008670BC" w:rsidRPr="00BC6BFF" w14:paraId="2F889AB3" w14:textId="77777777" w:rsidTr="008670BC">
        <w:trPr>
          <w:trHeight w:val="385"/>
          <w:jc w:val="center"/>
        </w:trPr>
        <w:tc>
          <w:tcPr>
            <w:tcW w:w="822" w:type="dxa"/>
            <w:vAlign w:val="center"/>
          </w:tcPr>
          <w:p w14:paraId="77F2AFAE" w14:textId="77777777" w:rsidR="008670BC" w:rsidRPr="00BC6BFF" w:rsidRDefault="008670BC" w:rsidP="00BC6BFF">
            <w:pPr>
              <w:pStyle w:val="TableParagraph"/>
              <w:spacing w:line="24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19" w:type="dxa"/>
          </w:tcPr>
          <w:p w14:paraId="344AAAD6" w14:textId="3196AE4F" w:rsidR="008670BC" w:rsidRPr="00BC6BFF" w:rsidRDefault="008670BC" w:rsidP="00BC6BFF">
            <w:pPr>
              <w:pStyle w:val="TableParagraph"/>
              <w:spacing w:line="240" w:lineRule="auto"/>
              <w:ind w:right="8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Tautología, contradicción y contingencia.</w:t>
            </w:r>
          </w:p>
        </w:tc>
      </w:tr>
      <w:tr w:rsidR="008670BC" w:rsidRPr="00BC6BFF" w14:paraId="5A251469" w14:textId="77777777" w:rsidTr="008670BC">
        <w:trPr>
          <w:trHeight w:val="346"/>
          <w:jc w:val="center"/>
        </w:trPr>
        <w:tc>
          <w:tcPr>
            <w:tcW w:w="822" w:type="dxa"/>
            <w:vAlign w:val="center"/>
          </w:tcPr>
          <w:p w14:paraId="26A39F65" w14:textId="77777777" w:rsidR="008670BC" w:rsidRPr="00BC6BFF" w:rsidRDefault="008670BC" w:rsidP="00BC6BFF">
            <w:pPr>
              <w:pStyle w:val="TableParagraph"/>
              <w:spacing w:line="24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19" w:type="dxa"/>
          </w:tcPr>
          <w:p w14:paraId="6E269B6A" w14:textId="7CA9E616" w:rsidR="008670BC" w:rsidRPr="00BC6BFF" w:rsidRDefault="008670BC" w:rsidP="00BC6BFF">
            <w:pPr>
              <w:pStyle w:val="TableParagraph"/>
              <w:spacing w:line="243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Regla de tres: simple inversa, simple directa y compuesta.</w:t>
            </w:r>
          </w:p>
        </w:tc>
      </w:tr>
      <w:tr w:rsidR="008670BC" w:rsidRPr="00BC6BFF" w14:paraId="1F30E4E0" w14:textId="77777777" w:rsidTr="008670BC">
        <w:trPr>
          <w:trHeight w:val="304"/>
          <w:jc w:val="center"/>
        </w:trPr>
        <w:tc>
          <w:tcPr>
            <w:tcW w:w="822" w:type="dxa"/>
            <w:vAlign w:val="center"/>
          </w:tcPr>
          <w:p w14:paraId="5B8CF75B" w14:textId="77777777" w:rsidR="008670BC" w:rsidRPr="00BC6BFF" w:rsidRDefault="008670BC" w:rsidP="00BC6BFF">
            <w:pPr>
              <w:pStyle w:val="TableParagraph"/>
              <w:spacing w:line="24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19" w:type="dxa"/>
          </w:tcPr>
          <w:p w14:paraId="49FA3786" w14:textId="1CECCE95" w:rsidR="008670BC" w:rsidRPr="00BC6BFF" w:rsidRDefault="008670BC" w:rsidP="00BC6BFF">
            <w:pPr>
              <w:pStyle w:val="TableParagraph"/>
              <w:spacing w:line="240" w:lineRule="auto"/>
              <w:ind w:right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Porcentajes.</w:t>
            </w:r>
          </w:p>
        </w:tc>
      </w:tr>
      <w:tr w:rsidR="008670BC" w:rsidRPr="00BC6BFF" w14:paraId="10B546A1" w14:textId="77777777" w:rsidTr="008670BC">
        <w:trPr>
          <w:trHeight w:val="346"/>
          <w:jc w:val="center"/>
        </w:trPr>
        <w:tc>
          <w:tcPr>
            <w:tcW w:w="822" w:type="dxa"/>
            <w:vAlign w:val="center"/>
          </w:tcPr>
          <w:p w14:paraId="31C92D02" w14:textId="77777777" w:rsidR="008670BC" w:rsidRPr="00BC6BFF" w:rsidRDefault="008670BC" w:rsidP="00BC6BFF">
            <w:pPr>
              <w:pStyle w:val="TableParagraph"/>
              <w:spacing w:line="24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19" w:type="dxa"/>
          </w:tcPr>
          <w:p w14:paraId="0DD07215" w14:textId="43BDF5E2" w:rsidR="008670BC" w:rsidRPr="00BC6BFF" w:rsidRDefault="008670BC" w:rsidP="00BC6BFF">
            <w:pPr>
              <w:pStyle w:val="TableParagraph"/>
              <w:spacing w:line="243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Proporción.</w:t>
            </w:r>
          </w:p>
        </w:tc>
      </w:tr>
      <w:tr w:rsidR="008670BC" w:rsidRPr="00BC6BFF" w14:paraId="74685CA8" w14:textId="77777777" w:rsidTr="008670BC">
        <w:trPr>
          <w:trHeight w:val="344"/>
          <w:jc w:val="center"/>
        </w:trPr>
        <w:tc>
          <w:tcPr>
            <w:tcW w:w="822" w:type="dxa"/>
            <w:vAlign w:val="center"/>
          </w:tcPr>
          <w:p w14:paraId="15634E68" w14:textId="77777777" w:rsidR="008670BC" w:rsidRPr="00BC6BFF" w:rsidRDefault="008670BC" w:rsidP="00BC6BFF">
            <w:pPr>
              <w:pStyle w:val="TableParagraph"/>
              <w:spacing w:line="24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19" w:type="dxa"/>
          </w:tcPr>
          <w:p w14:paraId="1DC39CF0" w14:textId="698EAB14" w:rsidR="008670BC" w:rsidRPr="00BC6BFF" w:rsidRDefault="008670BC" w:rsidP="00BC6BFF">
            <w:pPr>
              <w:pStyle w:val="TableParagraph"/>
              <w:spacing w:line="243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Razonamiento numérico aplicado a ecuaciones simples.</w:t>
            </w:r>
          </w:p>
        </w:tc>
      </w:tr>
      <w:tr w:rsidR="008670BC" w:rsidRPr="00BC6BFF" w14:paraId="0DE88CE3" w14:textId="77777777" w:rsidTr="008670BC">
        <w:trPr>
          <w:trHeight w:val="344"/>
          <w:jc w:val="center"/>
        </w:trPr>
        <w:tc>
          <w:tcPr>
            <w:tcW w:w="822" w:type="dxa"/>
            <w:vAlign w:val="center"/>
          </w:tcPr>
          <w:p w14:paraId="62B77F15" w14:textId="77777777" w:rsidR="008670BC" w:rsidRPr="00BC6BFF" w:rsidRDefault="008670BC" w:rsidP="00BC6BFF">
            <w:pPr>
              <w:pStyle w:val="TableParagraph"/>
              <w:spacing w:line="24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319" w:type="dxa"/>
          </w:tcPr>
          <w:p w14:paraId="349331C1" w14:textId="2145FF26" w:rsidR="008670BC" w:rsidRPr="00BC6BFF" w:rsidRDefault="008670BC" w:rsidP="00BC6BFF">
            <w:pPr>
              <w:pStyle w:val="TableParagraph"/>
              <w:spacing w:line="243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BFF">
              <w:rPr>
                <w:rFonts w:ascii="Times New Roman" w:hAnsi="Times New Roman" w:cs="Times New Roman"/>
                <w:bCs/>
                <w:sz w:val="24"/>
                <w:szCs w:val="24"/>
              </w:rPr>
              <w:t>Planteamiento de ecuaciones lineales, cálculo de edades.</w:t>
            </w:r>
          </w:p>
        </w:tc>
      </w:tr>
    </w:tbl>
    <w:p w14:paraId="72C45690" w14:textId="64BD3A2E" w:rsidR="008670BC" w:rsidRPr="00BC6BFF" w:rsidRDefault="008670BC" w:rsidP="00BC6B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6DD0B3" w14:textId="71EC42A2" w:rsidR="0026565B" w:rsidRPr="00BC6BFF" w:rsidRDefault="0026565B" w:rsidP="00BC6B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C5385E" w14:textId="1C1016D6" w:rsidR="0026565B" w:rsidRPr="0026565B" w:rsidRDefault="0026565B" w:rsidP="0026565B"/>
    <w:p w14:paraId="3048DB6C" w14:textId="7616833E" w:rsidR="0026565B" w:rsidRPr="0026565B" w:rsidRDefault="0026565B" w:rsidP="0026565B"/>
    <w:p w14:paraId="58B5C687" w14:textId="508DFD30" w:rsidR="0026565B" w:rsidRPr="0026565B" w:rsidRDefault="0026565B" w:rsidP="0026565B"/>
    <w:p w14:paraId="7236F399" w14:textId="412C3AA1" w:rsidR="0026565B" w:rsidRPr="0026565B" w:rsidRDefault="0026565B" w:rsidP="0026565B"/>
    <w:p w14:paraId="58D20AAD" w14:textId="0CF08709" w:rsidR="0026565B" w:rsidRPr="0026565B" w:rsidRDefault="0026565B" w:rsidP="0026565B"/>
    <w:p w14:paraId="0279253D" w14:textId="7C9634C7" w:rsidR="0026565B" w:rsidRPr="0026565B" w:rsidRDefault="0026565B" w:rsidP="0026565B"/>
    <w:p w14:paraId="2973A929" w14:textId="552D65D5" w:rsidR="0026565B" w:rsidRPr="0026565B" w:rsidRDefault="0026565B" w:rsidP="0026565B"/>
    <w:p w14:paraId="49A87159" w14:textId="5E113C6C" w:rsidR="0026565B" w:rsidRPr="0026565B" w:rsidRDefault="0026565B" w:rsidP="0026565B"/>
    <w:p w14:paraId="5647D3F3" w14:textId="1C9AED84" w:rsidR="0026565B" w:rsidRDefault="0026565B" w:rsidP="0026565B"/>
    <w:p w14:paraId="7E96AB6E" w14:textId="753B89ED" w:rsidR="0026565B" w:rsidRPr="0026565B" w:rsidRDefault="0026565B" w:rsidP="0026565B">
      <w:pPr>
        <w:tabs>
          <w:tab w:val="left" w:pos="4950"/>
        </w:tabs>
      </w:pPr>
      <w:r>
        <w:tab/>
      </w:r>
    </w:p>
    <w:sectPr w:rsidR="0026565B" w:rsidRPr="0026565B" w:rsidSect="008670BC">
      <w:headerReference w:type="first" r:id="rId6"/>
      <w:pgSz w:w="11906" w:h="16838"/>
      <w:pgMar w:top="1135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D2281" w14:textId="77777777" w:rsidR="00AD6BFA" w:rsidRDefault="00AD6BFA" w:rsidP="008670BC">
      <w:r>
        <w:separator/>
      </w:r>
    </w:p>
  </w:endnote>
  <w:endnote w:type="continuationSeparator" w:id="0">
    <w:p w14:paraId="4F3B1F68" w14:textId="77777777" w:rsidR="00AD6BFA" w:rsidRDefault="00AD6BFA" w:rsidP="0086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9675F" w14:textId="77777777" w:rsidR="00AD6BFA" w:rsidRDefault="00AD6BFA" w:rsidP="008670BC">
      <w:r>
        <w:separator/>
      </w:r>
    </w:p>
  </w:footnote>
  <w:footnote w:type="continuationSeparator" w:id="0">
    <w:p w14:paraId="52DBC9E3" w14:textId="77777777" w:rsidR="00AD6BFA" w:rsidRDefault="00AD6BFA" w:rsidP="00867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D62D2" w14:textId="0C9D2E3E" w:rsidR="008670BC" w:rsidRDefault="008670BC" w:rsidP="008670BC">
    <w:pPr>
      <w:pStyle w:val="Encabezado"/>
      <w:jc w:val="center"/>
      <w:rPr>
        <w:b/>
        <w:bCs/>
        <w:sz w:val="24"/>
        <w:szCs w:val="24"/>
      </w:rPr>
    </w:pPr>
    <w:r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211AB99D" wp14:editId="2BAAD916">
          <wp:simplePos x="0" y="0"/>
          <wp:positionH relativeFrom="margin">
            <wp:align>center</wp:align>
          </wp:positionH>
          <wp:positionV relativeFrom="paragraph">
            <wp:posOffset>-205740</wp:posOffset>
          </wp:positionV>
          <wp:extent cx="723900" cy="7239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4A9995" w14:textId="77777777" w:rsidR="008670BC" w:rsidRDefault="008670BC" w:rsidP="008670BC">
    <w:pPr>
      <w:pStyle w:val="Encabezado"/>
      <w:jc w:val="center"/>
      <w:rPr>
        <w:b/>
        <w:bCs/>
        <w:sz w:val="24"/>
        <w:szCs w:val="24"/>
      </w:rPr>
    </w:pPr>
  </w:p>
  <w:p w14:paraId="2ED559C7" w14:textId="77777777" w:rsidR="008670BC" w:rsidRDefault="008670BC" w:rsidP="008670BC">
    <w:pPr>
      <w:pStyle w:val="Encabezado"/>
      <w:jc w:val="center"/>
      <w:rPr>
        <w:b/>
        <w:bCs/>
        <w:sz w:val="24"/>
        <w:szCs w:val="24"/>
      </w:rPr>
    </w:pPr>
  </w:p>
  <w:p w14:paraId="10C761C7" w14:textId="4BFED128" w:rsidR="008670BC" w:rsidRDefault="008670BC" w:rsidP="008670BC">
    <w:pPr>
      <w:pStyle w:val="Encabezado"/>
      <w:jc w:val="center"/>
      <w:rPr>
        <w:b/>
        <w:bCs/>
        <w:sz w:val="24"/>
        <w:szCs w:val="24"/>
      </w:rPr>
    </w:pPr>
  </w:p>
  <w:p w14:paraId="0327EADF" w14:textId="4ED102A1" w:rsidR="008670BC" w:rsidRPr="008670BC" w:rsidRDefault="008670BC" w:rsidP="00382FAB">
    <w:pPr>
      <w:pStyle w:val="Encabezado"/>
      <w:jc w:val="center"/>
      <w:rPr>
        <w:b/>
        <w:bCs/>
        <w:sz w:val="24"/>
        <w:szCs w:val="24"/>
      </w:rPr>
    </w:pPr>
    <w:r w:rsidRPr="008670BC">
      <w:rPr>
        <w:b/>
        <w:bCs/>
        <w:sz w:val="24"/>
        <w:szCs w:val="24"/>
      </w:rPr>
      <w:t xml:space="preserve">INFORMACIÓN SOBRE LAS </w:t>
    </w:r>
    <w:r>
      <w:rPr>
        <w:b/>
        <w:bCs/>
        <w:sz w:val="24"/>
        <w:szCs w:val="24"/>
      </w:rPr>
      <w:t xml:space="preserve">TEMARIOS </w:t>
    </w:r>
    <w:r w:rsidR="00382FAB">
      <w:rPr>
        <w:b/>
        <w:bCs/>
        <w:sz w:val="24"/>
        <w:szCs w:val="24"/>
      </w:rPr>
      <w:t xml:space="preserve">CORRESPONDIENTES A LA EVALUACIÓN PSICOMÉTRICA </w:t>
    </w:r>
    <w:r w:rsidRPr="008670BC">
      <w:rPr>
        <w:b/>
        <w:bCs/>
        <w:sz w:val="24"/>
        <w:szCs w:val="24"/>
      </w:rPr>
      <w:t>PARA EL PROCESO DE ADMISI</w:t>
    </w:r>
    <w:r w:rsidR="00382FAB">
      <w:rPr>
        <w:b/>
        <w:bCs/>
        <w:sz w:val="24"/>
        <w:szCs w:val="24"/>
      </w:rPr>
      <w:t>Ó</w:t>
    </w:r>
    <w:r w:rsidRPr="008670BC">
      <w:rPr>
        <w:b/>
        <w:bCs/>
        <w:sz w:val="24"/>
        <w:szCs w:val="24"/>
      </w:rPr>
      <w:t>N A LA</w:t>
    </w:r>
  </w:p>
  <w:p w14:paraId="5641635F" w14:textId="77777777" w:rsidR="00B13BD6" w:rsidRDefault="008670BC" w:rsidP="008670BC">
    <w:pPr>
      <w:pStyle w:val="Encabezado"/>
      <w:jc w:val="center"/>
      <w:rPr>
        <w:b/>
        <w:bCs/>
        <w:sz w:val="24"/>
        <w:szCs w:val="24"/>
      </w:rPr>
    </w:pPr>
    <w:r w:rsidRPr="008670BC">
      <w:rPr>
        <w:b/>
        <w:bCs/>
        <w:sz w:val="24"/>
        <w:szCs w:val="24"/>
      </w:rPr>
      <w:t xml:space="preserve">UNIVERSIDAD </w:t>
    </w:r>
    <w:r>
      <w:rPr>
        <w:b/>
        <w:bCs/>
        <w:sz w:val="24"/>
        <w:szCs w:val="24"/>
      </w:rPr>
      <w:t xml:space="preserve">CENTRAL DEL ECUADOR </w:t>
    </w:r>
  </w:p>
  <w:p w14:paraId="2D6A1EB1" w14:textId="7CE206DC" w:rsidR="008670BC" w:rsidRPr="008670BC" w:rsidRDefault="00B13BD6" w:rsidP="008670BC">
    <w:pPr>
      <w:pStyle w:val="Encabezado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CARRERA FOCALIZADA: CIENCIAS POLICIALES</w:t>
    </w:r>
  </w:p>
  <w:p w14:paraId="5B283030" w14:textId="77777777" w:rsidR="008670BC" w:rsidRPr="008670BC" w:rsidRDefault="008670BC" w:rsidP="008670BC">
    <w:pPr>
      <w:pStyle w:val="Encabezado"/>
      <w:jc w:val="center"/>
      <w:rPr>
        <w:b/>
        <w:bCs/>
        <w:sz w:val="24"/>
        <w:szCs w:val="24"/>
      </w:rPr>
    </w:pPr>
  </w:p>
  <w:p w14:paraId="27E17B25" w14:textId="103E0F0A" w:rsidR="00B13BD6" w:rsidRDefault="008670BC" w:rsidP="00B13BD6">
    <w:pPr>
      <w:pStyle w:val="Encabezado"/>
      <w:jc w:val="center"/>
      <w:rPr>
        <w:b/>
        <w:bCs/>
        <w:sz w:val="24"/>
        <w:szCs w:val="24"/>
      </w:rPr>
    </w:pPr>
    <w:r w:rsidRPr="008670BC">
      <w:rPr>
        <w:b/>
        <w:bCs/>
        <w:sz w:val="24"/>
        <w:szCs w:val="24"/>
      </w:rPr>
      <w:t>PERIODO I</w:t>
    </w:r>
    <w:r>
      <w:rPr>
        <w:b/>
        <w:bCs/>
        <w:sz w:val="24"/>
        <w:szCs w:val="24"/>
      </w:rPr>
      <w:t>S</w:t>
    </w:r>
    <w:r w:rsidRPr="008670BC">
      <w:rPr>
        <w:b/>
        <w:bCs/>
        <w:sz w:val="24"/>
        <w:szCs w:val="24"/>
      </w:rPr>
      <w:t>-202</w:t>
    </w:r>
    <w:r w:rsidR="00B13BD6">
      <w:rPr>
        <w:b/>
        <w:bCs/>
        <w:sz w:val="24"/>
        <w:szCs w:val="24"/>
      </w:rPr>
      <w:t>5</w:t>
    </w:r>
  </w:p>
  <w:p w14:paraId="7D9AC592" w14:textId="6ED32AA9" w:rsidR="008670BC" w:rsidRPr="008670BC" w:rsidRDefault="008670BC" w:rsidP="00BC6BFF">
    <w:pPr>
      <w:pStyle w:val="Encabezado"/>
      <w:rPr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E8"/>
    <w:rsid w:val="00155BEB"/>
    <w:rsid w:val="0026565B"/>
    <w:rsid w:val="00315DE8"/>
    <w:rsid w:val="00382FAB"/>
    <w:rsid w:val="00581F4C"/>
    <w:rsid w:val="008670BC"/>
    <w:rsid w:val="00AD6BFA"/>
    <w:rsid w:val="00B13BD6"/>
    <w:rsid w:val="00BC6BFF"/>
    <w:rsid w:val="00DC04A3"/>
    <w:rsid w:val="00E31BCF"/>
    <w:rsid w:val="00F9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876B"/>
  <w15:chartTrackingRefBased/>
  <w15:docId w15:val="{CB882CA4-BDA8-4982-944E-1E100EA1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D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5D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15DE8"/>
    <w:pPr>
      <w:spacing w:line="265" w:lineRule="exact"/>
      <w:ind w:left="108"/>
    </w:pPr>
  </w:style>
  <w:style w:type="paragraph" w:styleId="Encabezado">
    <w:name w:val="header"/>
    <w:basedOn w:val="Normal"/>
    <w:link w:val="EncabezadoCar"/>
    <w:uiPriority w:val="99"/>
    <w:unhideWhenUsed/>
    <w:rsid w:val="008670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70BC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670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70BC"/>
    <w:rPr>
      <w:rFonts w:ascii="Calibri" w:eastAsia="Calibri" w:hAnsi="Calibri" w:cs="Calibri"/>
      <w:lang w:val="es-ES"/>
    </w:rPr>
  </w:style>
  <w:style w:type="paragraph" w:customStyle="1" w:styleId="Default">
    <w:name w:val="Default"/>
    <w:rsid w:val="00BC6B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ALEXANDRA VARELA QUISPE</dc:creator>
  <cp:keywords/>
  <dc:description/>
  <cp:lastModifiedBy>MARIA JOSE ANDRADE RODRIGUEZ</cp:lastModifiedBy>
  <cp:revision>5</cp:revision>
  <dcterms:created xsi:type="dcterms:W3CDTF">2024-04-01T19:44:00Z</dcterms:created>
  <dcterms:modified xsi:type="dcterms:W3CDTF">2025-02-20T18:08:00Z</dcterms:modified>
</cp:coreProperties>
</file>